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AC2" w:rsidRDefault="00756AC2"/>
    <w:p w:rsidR="00A16F8A" w:rsidRDefault="00A16F8A" w:rsidP="00DB1EBD">
      <w:pPr>
        <w:spacing w:line="480" w:lineRule="auto"/>
      </w:pPr>
    </w:p>
    <w:p w:rsidR="00DB1EBD" w:rsidRPr="00DB1EBD" w:rsidRDefault="00DB1EBD" w:rsidP="00DB1EBD">
      <w:pPr>
        <w:spacing w:line="480" w:lineRule="auto"/>
        <w:rPr>
          <w:rFonts w:ascii="Times New Roman" w:hAnsi="Times New Roman" w:cs="Times New Roman"/>
          <w:sz w:val="24"/>
          <w:szCs w:val="24"/>
        </w:rPr>
      </w:pPr>
    </w:p>
    <w:p w:rsidR="00A16F8A" w:rsidRPr="00DB1EBD" w:rsidRDefault="00A16F8A" w:rsidP="00DB1EBD">
      <w:pPr>
        <w:spacing w:line="480" w:lineRule="auto"/>
        <w:rPr>
          <w:rFonts w:ascii="Times New Roman" w:hAnsi="Times New Roman" w:cs="Times New Roman"/>
          <w:sz w:val="24"/>
          <w:szCs w:val="24"/>
        </w:rPr>
      </w:pPr>
    </w:p>
    <w:p w:rsidR="00A16F8A" w:rsidRPr="00DB1EBD" w:rsidRDefault="00A16F8A" w:rsidP="00DB1EBD">
      <w:pPr>
        <w:spacing w:line="480" w:lineRule="auto"/>
        <w:rPr>
          <w:rFonts w:ascii="Times New Roman" w:hAnsi="Times New Roman" w:cs="Times New Roman"/>
          <w:sz w:val="24"/>
          <w:szCs w:val="24"/>
        </w:rPr>
      </w:pPr>
    </w:p>
    <w:p w:rsidR="00A16F8A" w:rsidRPr="00DB1EBD" w:rsidRDefault="00402BFA" w:rsidP="00DB1EBD">
      <w:pPr>
        <w:spacing w:line="480" w:lineRule="auto"/>
        <w:jc w:val="center"/>
        <w:rPr>
          <w:rFonts w:ascii="Times New Roman" w:hAnsi="Times New Roman" w:cs="Times New Roman"/>
          <w:b/>
          <w:sz w:val="24"/>
          <w:szCs w:val="24"/>
        </w:rPr>
      </w:pPr>
      <w:r w:rsidRPr="00DB1EBD">
        <w:rPr>
          <w:rFonts w:ascii="Times New Roman" w:hAnsi="Times New Roman" w:cs="Times New Roman"/>
          <w:b/>
          <w:sz w:val="24"/>
          <w:szCs w:val="24"/>
        </w:rPr>
        <w:t>Fiscal Policy</w:t>
      </w:r>
    </w:p>
    <w:p w:rsidR="00A16F8A" w:rsidRPr="00DB1EBD" w:rsidRDefault="00A16F8A" w:rsidP="00DB1EBD">
      <w:pPr>
        <w:spacing w:line="480" w:lineRule="auto"/>
        <w:jc w:val="center"/>
        <w:rPr>
          <w:rFonts w:ascii="Times New Roman" w:hAnsi="Times New Roman" w:cs="Times New Roman"/>
          <w:b/>
          <w:sz w:val="24"/>
          <w:szCs w:val="24"/>
        </w:rPr>
      </w:pPr>
    </w:p>
    <w:p w:rsidR="00A16F8A" w:rsidRPr="00DB1EBD" w:rsidRDefault="00A16F8A" w:rsidP="00DB1EBD">
      <w:pPr>
        <w:spacing w:line="480" w:lineRule="auto"/>
        <w:jc w:val="center"/>
        <w:rPr>
          <w:rFonts w:ascii="Times New Roman" w:hAnsi="Times New Roman" w:cs="Times New Roman"/>
          <w:b/>
          <w:sz w:val="24"/>
          <w:szCs w:val="24"/>
        </w:rPr>
      </w:pPr>
    </w:p>
    <w:p w:rsidR="00A16F8A" w:rsidRPr="00DB1EBD" w:rsidRDefault="00A16F8A" w:rsidP="00DB1EBD">
      <w:pPr>
        <w:spacing w:line="480" w:lineRule="auto"/>
        <w:jc w:val="center"/>
        <w:rPr>
          <w:rFonts w:ascii="Times New Roman" w:hAnsi="Times New Roman" w:cs="Times New Roman"/>
          <w:b/>
          <w:sz w:val="24"/>
          <w:szCs w:val="24"/>
        </w:rPr>
      </w:pPr>
    </w:p>
    <w:p w:rsidR="00A16F8A" w:rsidRPr="00DB1EBD" w:rsidRDefault="00402BFA" w:rsidP="00DB1EBD">
      <w:pPr>
        <w:spacing w:line="480" w:lineRule="auto"/>
        <w:contextualSpacing/>
        <w:jc w:val="center"/>
        <w:rPr>
          <w:rFonts w:ascii="Times New Roman" w:hAnsi="Times New Roman" w:cs="Times New Roman"/>
          <w:sz w:val="24"/>
          <w:szCs w:val="24"/>
        </w:rPr>
      </w:pPr>
      <w:r w:rsidRPr="00DB1EBD">
        <w:rPr>
          <w:rFonts w:ascii="Times New Roman" w:hAnsi="Times New Roman" w:cs="Times New Roman"/>
          <w:sz w:val="24"/>
          <w:szCs w:val="24"/>
        </w:rPr>
        <w:t>Student’s Name</w:t>
      </w:r>
    </w:p>
    <w:p w:rsidR="00A16F8A" w:rsidRPr="00DB1EBD" w:rsidRDefault="00402BFA" w:rsidP="00DB1EBD">
      <w:pPr>
        <w:spacing w:line="480" w:lineRule="auto"/>
        <w:contextualSpacing/>
        <w:jc w:val="center"/>
        <w:rPr>
          <w:rFonts w:ascii="Times New Roman" w:hAnsi="Times New Roman" w:cs="Times New Roman"/>
          <w:sz w:val="24"/>
          <w:szCs w:val="24"/>
        </w:rPr>
      </w:pPr>
      <w:r w:rsidRPr="00DB1EBD">
        <w:rPr>
          <w:rFonts w:ascii="Times New Roman" w:hAnsi="Times New Roman" w:cs="Times New Roman"/>
          <w:sz w:val="24"/>
          <w:szCs w:val="24"/>
        </w:rPr>
        <w:t>Institutional Affiliation</w:t>
      </w:r>
    </w:p>
    <w:p w:rsidR="00A16F8A" w:rsidRPr="00DB1EBD" w:rsidRDefault="00402BFA" w:rsidP="00DB1EBD">
      <w:pPr>
        <w:spacing w:line="480" w:lineRule="auto"/>
        <w:contextualSpacing/>
        <w:jc w:val="center"/>
        <w:rPr>
          <w:rFonts w:ascii="Times New Roman" w:hAnsi="Times New Roman" w:cs="Times New Roman"/>
          <w:sz w:val="24"/>
          <w:szCs w:val="24"/>
        </w:rPr>
      </w:pPr>
      <w:r w:rsidRPr="00DB1EBD">
        <w:rPr>
          <w:rFonts w:ascii="Times New Roman" w:hAnsi="Times New Roman" w:cs="Times New Roman"/>
          <w:sz w:val="24"/>
          <w:szCs w:val="24"/>
        </w:rPr>
        <w:t>Course Name and Number</w:t>
      </w:r>
    </w:p>
    <w:p w:rsidR="00A16F8A" w:rsidRPr="00DB1EBD" w:rsidRDefault="00402BFA" w:rsidP="00DB1EBD">
      <w:pPr>
        <w:spacing w:line="480" w:lineRule="auto"/>
        <w:contextualSpacing/>
        <w:jc w:val="center"/>
        <w:rPr>
          <w:rFonts w:ascii="Times New Roman" w:hAnsi="Times New Roman" w:cs="Times New Roman"/>
          <w:sz w:val="24"/>
          <w:szCs w:val="24"/>
        </w:rPr>
      </w:pPr>
      <w:r w:rsidRPr="00DB1EBD">
        <w:rPr>
          <w:rFonts w:ascii="Times New Roman" w:hAnsi="Times New Roman" w:cs="Times New Roman"/>
          <w:sz w:val="24"/>
          <w:szCs w:val="24"/>
        </w:rPr>
        <w:t>Instructor’s Name</w:t>
      </w:r>
    </w:p>
    <w:p w:rsidR="00A16F8A" w:rsidRPr="00DB1EBD" w:rsidRDefault="00402BFA" w:rsidP="00DB1EBD">
      <w:pPr>
        <w:spacing w:line="480" w:lineRule="auto"/>
        <w:contextualSpacing/>
        <w:jc w:val="center"/>
        <w:rPr>
          <w:rFonts w:ascii="Times New Roman" w:hAnsi="Times New Roman" w:cs="Times New Roman"/>
          <w:sz w:val="24"/>
          <w:szCs w:val="24"/>
        </w:rPr>
      </w:pPr>
      <w:r w:rsidRPr="00DB1EBD">
        <w:rPr>
          <w:rFonts w:ascii="Times New Roman" w:hAnsi="Times New Roman" w:cs="Times New Roman"/>
          <w:sz w:val="24"/>
          <w:szCs w:val="24"/>
        </w:rPr>
        <w:t>Assignment Due Date</w:t>
      </w:r>
    </w:p>
    <w:p w:rsidR="00A16F8A" w:rsidRPr="00DB1EBD" w:rsidRDefault="00A16F8A" w:rsidP="00DB1EBD">
      <w:pPr>
        <w:spacing w:line="480" w:lineRule="auto"/>
        <w:jc w:val="center"/>
        <w:rPr>
          <w:rFonts w:ascii="Times New Roman" w:hAnsi="Times New Roman" w:cs="Times New Roman"/>
          <w:b/>
          <w:sz w:val="24"/>
          <w:szCs w:val="24"/>
        </w:rPr>
      </w:pPr>
    </w:p>
    <w:p w:rsidR="00A16F8A" w:rsidRPr="00DB1EBD" w:rsidRDefault="00A16F8A" w:rsidP="00DB1EBD">
      <w:pPr>
        <w:spacing w:line="480" w:lineRule="auto"/>
        <w:jc w:val="center"/>
        <w:rPr>
          <w:rFonts w:ascii="Times New Roman" w:hAnsi="Times New Roman" w:cs="Times New Roman"/>
          <w:b/>
          <w:sz w:val="24"/>
          <w:szCs w:val="24"/>
        </w:rPr>
      </w:pPr>
    </w:p>
    <w:p w:rsidR="00A16F8A" w:rsidRPr="00DB1EBD" w:rsidRDefault="00A16F8A" w:rsidP="00DB1EBD">
      <w:pPr>
        <w:spacing w:line="480" w:lineRule="auto"/>
        <w:jc w:val="center"/>
        <w:rPr>
          <w:rFonts w:ascii="Times New Roman" w:hAnsi="Times New Roman" w:cs="Times New Roman"/>
          <w:b/>
          <w:sz w:val="24"/>
          <w:szCs w:val="24"/>
        </w:rPr>
      </w:pPr>
    </w:p>
    <w:p w:rsidR="00A16F8A" w:rsidRPr="00DB1EBD" w:rsidRDefault="00A16F8A" w:rsidP="00DB1EBD">
      <w:pPr>
        <w:spacing w:line="480" w:lineRule="auto"/>
        <w:jc w:val="center"/>
        <w:rPr>
          <w:rFonts w:ascii="Times New Roman" w:hAnsi="Times New Roman" w:cs="Times New Roman"/>
          <w:b/>
          <w:sz w:val="24"/>
          <w:szCs w:val="24"/>
        </w:rPr>
      </w:pPr>
    </w:p>
    <w:p w:rsidR="00A16F8A" w:rsidRPr="00DB1EBD" w:rsidRDefault="00A16F8A" w:rsidP="00DB1EBD">
      <w:pPr>
        <w:spacing w:line="480" w:lineRule="auto"/>
        <w:jc w:val="center"/>
        <w:rPr>
          <w:rFonts w:ascii="Times New Roman" w:hAnsi="Times New Roman" w:cs="Times New Roman"/>
          <w:b/>
          <w:sz w:val="24"/>
          <w:szCs w:val="24"/>
        </w:rPr>
      </w:pPr>
    </w:p>
    <w:p w:rsidR="00464B4B" w:rsidRPr="00DB1EBD" w:rsidRDefault="00402BFA" w:rsidP="00DB1EBD">
      <w:pPr>
        <w:spacing w:line="480" w:lineRule="auto"/>
        <w:ind w:firstLine="720"/>
        <w:rPr>
          <w:rFonts w:ascii="Times New Roman" w:hAnsi="Times New Roman" w:cs="Times New Roman"/>
          <w:sz w:val="24"/>
          <w:szCs w:val="24"/>
        </w:rPr>
      </w:pPr>
      <w:r w:rsidRPr="00DB1EBD">
        <w:rPr>
          <w:rFonts w:ascii="Times New Roman" w:hAnsi="Times New Roman" w:cs="Times New Roman"/>
          <w:sz w:val="24"/>
          <w:szCs w:val="24"/>
        </w:rPr>
        <w:lastRenderedPageBreak/>
        <w:t xml:space="preserve">The fiscal policy applies to the economy of government expenditure and tax policies, particularly macroeconomic </w:t>
      </w:r>
      <w:r w:rsidRPr="00DB1EBD">
        <w:rPr>
          <w:rFonts w:ascii="Times New Roman" w:hAnsi="Times New Roman" w:cs="Times New Roman"/>
          <w:sz w:val="24"/>
          <w:szCs w:val="24"/>
        </w:rPr>
        <w:t>circumstances, including overall demand for goods and services, jobs, inflation, and economic</w:t>
      </w:r>
      <w:r w:rsidR="00DB1EBD">
        <w:rPr>
          <w:rFonts w:ascii="Times New Roman" w:hAnsi="Times New Roman" w:cs="Times New Roman"/>
          <w:sz w:val="24"/>
          <w:szCs w:val="24"/>
        </w:rPr>
        <w:t xml:space="preserve"> growth.</w:t>
      </w:r>
      <w:r w:rsidRPr="00DB1EBD">
        <w:rPr>
          <w:rFonts w:ascii="Times New Roman" w:hAnsi="Times New Roman" w:cs="Times New Roman"/>
          <w:sz w:val="24"/>
          <w:szCs w:val="24"/>
        </w:rPr>
        <w:t xml:space="preserve"> </w:t>
      </w:r>
    </w:p>
    <w:p w:rsidR="00A16F8A" w:rsidRPr="00DB1EBD" w:rsidRDefault="00402BFA" w:rsidP="00DB1EBD">
      <w:pPr>
        <w:spacing w:line="480" w:lineRule="auto"/>
        <w:ind w:firstLine="720"/>
        <w:rPr>
          <w:rFonts w:ascii="Times New Roman" w:hAnsi="Times New Roman" w:cs="Times New Roman"/>
          <w:sz w:val="24"/>
          <w:szCs w:val="24"/>
        </w:rPr>
      </w:pPr>
      <w:r w:rsidRPr="00DB1EBD">
        <w:rPr>
          <w:rFonts w:ascii="Times New Roman" w:hAnsi="Times New Roman" w:cs="Times New Roman"/>
          <w:sz w:val="24"/>
          <w:szCs w:val="24"/>
        </w:rPr>
        <w:t>The federal government</w:t>
      </w:r>
      <w:r w:rsidRPr="00DB1EBD">
        <w:rPr>
          <w:rFonts w:ascii="Times New Roman" w:hAnsi="Times New Roman" w:cs="Times New Roman"/>
          <w:sz w:val="24"/>
          <w:szCs w:val="24"/>
        </w:rPr>
        <w:t xml:space="preserve"> controls fiscal policy; Congress and the Administration determine fiscal policy decisions; the Fed has no role in setting budgeta</w:t>
      </w:r>
      <w:r w:rsidRPr="00DB1EBD">
        <w:rPr>
          <w:rFonts w:ascii="Times New Roman" w:hAnsi="Times New Roman" w:cs="Times New Roman"/>
          <w:sz w:val="24"/>
          <w:szCs w:val="24"/>
        </w:rPr>
        <w:t>ry policy</w:t>
      </w:r>
      <w:r w:rsidR="00092534" w:rsidRPr="00DB1EBD">
        <w:rPr>
          <w:rFonts w:ascii="Times New Roman" w:hAnsi="Times New Roman" w:cs="Times New Roman"/>
          <w:sz w:val="24"/>
          <w:szCs w:val="24"/>
        </w:rPr>
        <w:t xml:space="preserve"> (</w:t>
      </w:r>
      <w:r w:rsidR="00092534" w:rsidRPr="00DB1EBD">
        <w:rPr>
          <w:rFonts w:ascii="Times New Roman" w:hAnsi="Times New Roman" w:cs="Times New Roman"/>
          <w:color w:val="222222"/>
          <w:sz w:val="24"/>
          <w:szCs w:val="24"/>
          <w:shd w:val="clear" w:color="auto" w:fill="FFFFFF"/>
        </w:rPr>
        <w:t>Summers &amp; Rachel, 2019)</w:t>
      </w:r>
      <w:r w:rsidR="006E2EC8" w:rsidRPr="00DB1EBD">
        <w:rPr>
          <w:rFonts w:ascii="Times New Roman" w:hAnsi="Times New Roman" w:cs="Times New Roman"/>
          <w:sz w:val="24"/>
          <w:szCs w:val="24"/>
        </w:rPr>
        <w:t xml:space="preserve">. </w:t>
      </w:r>
      <w:r w:rsidRPr="00DB1EBD">
        <w:rPr>
          <w:rFonts w:ascii="Times New Roman" w:hAnsi="Times New Roman" w:cs="Times New Roman"/>
          <w:sz w:val="24"/>
          <w:szCs w:val="24"/>
        </w:rPr>
        <w:t>United States Congress designated the macroeconomic goals and objectives for the Federal Reserve as maximum employment and price stability; occasionally, they're called the dual mandate of the Federal Reserve</w:t>
      </w:r>
      <w:r w:rsidR="006E2EC8" w:rsidRPr="00DB1EBD">
        <w:rPr>
          <w:rFonts w:ascii="Times New Roman" w:hAnsi="Times New Roman" w:cs="Times New Roman"/>
          <w:sz w:val="24"/>
          <w:szCs w:val="24"/>
        </w:rPr>
        <w:t>.</w:t>
      </w:r>
      <w:r w:rsidRPr="00DB1EBD">
        <w:rPr>
          <w:rFonts w:ascii="Times New Roman" w:hAnsi="Times New Roman" w:cs="Times New Roman"/>
          <w:sz w:val="24"/>
          <w:szCs w:val="24"/>
        </w:rPr>
        <w:t xml:space="preserve"> In additio</w:t>
      </w:r>
      <w:r w:rsidRPr="00DB1EBD">
        <w:rPr>
          <w:rFonts w:ascii="Times New Roman" w:hAnsi="Times New Roman" w:cs="Times New Roman"/>
          <w:sz w:val="24"/>
          <w:szCs w:val="24"/>
        </w:rPr>
        <w:t>n to these overarching aims, Congress established that monetary policy operational conduct should be free of political interference. The Federal Reserve is, therefore, a Federal Government independent entity.</w:t>
      </w:r>
    </w:p>
    <w:p w:rsidR="006E2EC8" w:rsidRPr="00DB1EBD" w:rsidRDefault="00402BFA" w:rsidP="00DB1EBD">
      <w:pPr>
        <w:spacing w:line="480" w:lineRule="auto"/>
        <w:ind w:firstLine="720"/>
        <w:rPr>
          <w:rFonts w:ascii="Times New Roman" w:hAnsi="Times New Roman" w:cs="Times New Roman"/>
          <w:sz w:val="24"/>
          <w:szCs w:val="24"/>
        </w:rPr>
      </w:pPr>
      <w:r w:rsidRPr="00DB1EBD">
        <w:rPr>
          <w:rFonts w:ascii="Times New Roman" w:hAnsi="Times New Roman" w:cs="Times New Roman"/>
          <w:sz w:val="24"/>
          <w:szCs w:val="24"/>
        </w:rPr>
        <w:t xml:space="preserve">Foreign policy decisions. Monetary policy </w:t>
      </w:r>
      <w:r w:rsidRPr="00DB1EBD">
        <w:rPr>
          <w:rFonts w:ascii="Times New Roman" w:hAnsi="Times New Roman" w:cs="Times New Roman"/>
          <w:sz w:val="24"/>
          <w:szCs w:val="24"/>
        </w:rPr>
        <w:t>refers to central banks' activities to accomplish macroeconomic policies such as stable prices, full employment, and sustainable economic development</w:t>
      </w:r>
      <w:r w:rsidR="00092534" w:rsidRPr="00DB1EBD">
        <w:rPr>
          <w:rFonts w:ascii="Times New Roman" w:hAnsi="Times New Roman" w:cs="Times New Roman"/>
          <w:sz w:val="24"/>
          <w:szCs w:val="24"/>
        </w:rPr>
        <w:t xml:space="preserve"> (</w:t>
      </w:r>
      <w:r w:rsidR="00092534" w:rsidRPr="00DB1EBD">
        <w:rPr>
          <w:rFonts w:ascii="Times New Roman" w:hAnsi="Times New Roman" w:cs="Times New Roman"/>
          <w:color w:val="222222"/>
          <w:sz w:val="24"/>
          <w:szCs w:val="24"/>
          <w:shd w:val="clear" w:color="auto" w:fill="FFFFFF"/>
        </w:rPr>
        <w:t>Honohan, 2019)</w:t>
      </w:r>
      <w:r w:rsidRPr="00DB1EBD">
        <w:rPr>
          <w:rFonts w:ascii="Times New Roman" w:hAnsi="Times New Roman" w:cs="Times New Roman"/>
          <w:sz w:val="24"/>
          <w:szCs w:val="24"/>
        </w:rPr>
        <w:t xml:space="preserve">. In comparison, Fiscal policy corresponds to the federal government's fiscal and spending </w:t>
      </w:r>
      <w:r w:rsidRPr="00DB1EBD">
        <w:rPr>
          <w:rFonts w:ascii="Times New Roman" w:hAnsi="Times New Roman" w:cs="Times New Roman"/>
          <w:sz w:val="24"/>
          <w:szCs w:val="24"/>
        </w:rPr>
        <w:t>policies. The Congress and the Administration determine fiscal policy decisions; the Fed has no role in setting fiscal policy. F</w:t>
      </w:r>
      <w:r w:rsidR="00DB67D1" w:rsidRPr="00DB1EBD">
        <w:rPr>
          <w:rFonts w:ascii="Times New Roman" w:hAnsi="Times New Roman" w:cs="Times New Roman"/>
          <w:sz w:val="24"/>
          <w:szCs w:val="24"/>
        </w:rPr>
        <w:t>iscal stimulus is more general in that its approach is targeted and cautious and differs from expansionary monetary and fiscal policies. The economic boosts are supposed to direct government spending on the deficit, tax cuts, interest rates, or new creation into specific critical sectors of the economy instead of using monetary and fiscal policy to replace spending by private sector spending, to benefit from powerful multiplier impacts, indirectly increasing private sector expenditure and investment expenses.</w:t>
      </w:r>
      <w:r w:rsidR="00092534" w:rsidRPr="00DB1EBD">
        <w:rPr>
          <w:rFonts w:ascii="Times New Roman" w:hAnsi="Times New Roman" w:cs="Times New Roman"/>
          <w:sz w:val="24"/>
          <w:szCs w:val="24"/>
        </w:rPr>
        <w:t xml:space="preserve"> These two policies aim to meet macroeconomic goals, including a complete job, Stability of price, A significant but stable growth rate, and Maintaining balance in equilibrium payments.</w:t>
      </w:r>
    </w:p>
    <w:p w:rsidR="006E2EC8" w:rsidRPr="00DB1EBD" w:rsidRDefault="00402BFA" w:rsidP="00DB1EBD">
      <w:pPr>
        <w:spacing w:line="480" w:lineRule="auto"/>
        <w:ind w:firstLine="720"/>
        <w:rPr>
          <w:rFonts w:ascii="Times New Roman" w:hAnsi="Times New Roman" w:cs="Times New Roman"/>
          <w:sz w:val="24"/>
          <w:szCs w:val="24"/>
        </w:rPr>
      </w:pPr>
      <w:r w:rsidRPr="00DB1EBD">
        <w:rPr>
          <w:rFonts w:ascii="Times New Roman" w:hAnsi="Times New Roman" w:cs="Times New Roman"/>
          <w:sz w:val="24"/>
          <w:szCs w:val="24"/>
        </w:rPr>
        <w:t>The difference between federal purchase and federal expenditure</w:t>
      </w:r>
      <w:r w:rsidRPr="00DB1EBD">
        <w:rPr>
          <w:rFonts w:ascii="Times New Roman" w:hAnsi="Times New Roman" w:cs="Times New Roman"/>
          <w:sz w:val="24"/>
          <w:szCs w:val="24"/>
        </w:rPr>
        <w:t xml:space="preserve"> is that the government must receive a good or service in return, while expenditures encompass transfer payments.</w:t>
      </w:r>
      <w:r w:rsidRPr="00DB1EBD">
        <w:rPr>
          <w:rFonts w:ascii="Times New Roman" w:hAnsi="Times New Roman" w:cs="Times New Roman"/>
          <w:sz w:val="24"/>
          <w:szCs w:val="24"/>
        </w:rPr>
        <w:t xml:space="preserve"> </w:t>
      </w:r>
      <w:r w:rsidR="00DB67D1" w:rsidRPr="00DB1EBD">
        <w:rPr>
          <w:rFonts w:ascii="Times New Roman" w:hAnsi="Times New Roman" w:cs="Times New Roman"/>
          <w:sz w:val="24"/>
          <w:szCs w:val="24"/>
        </w:rPr>
        <w:t>The transfer payment shall be a one-way payment to an individual or entity that has no goods or services provided or exchanged for it. That is in contrast to a direct cost in economics, which refers to a money transfer in compensation for a commodity or service</w:t>
      </w:r>
      <w:r w:rsidR="00092534" w:rsidRPr="00DB1EBD">
        <w:rPr>
          <w:rFonts w:ascii="Times New Roman" w:hAnsi="Times New Roman" w:cs="Times New Roman"/>
          <w:sz w:val="24"/>
          <w:szCs w:val="24"/>
        </w:rPr>
        <w:t xml:space="preserve"> (</w:t>
      </w:r>
      <w:r w:rsidR="00092534" w:rsidRPr="00DB1EBD">
        <w:rPr>
          <w:rFonts w:ascii="Times New Roman" w:hAnsi="Times New Roman" w:cs="Times New Roman"/>
          <w:color w:val="222222"/>
          <w:sz w:val="24"/>
          <w:szCs w:val="24"/>
          <w:shd w:val="clear" w:color="auto" w:fill="FFFFFF"/>
        </w:rPr>
        <w:t>Kashima et al., 2017)</w:t>
      </w:r>
      <w:r w:rsidR="00DB67D1" w:rsidRPr="00DB1EBD">
        <w:rPr>
          <w:rFonts w:ascii="Times New Roman" w:hAnsi="Times New Roman" w:cs="Times New Roman"/>
          <w:sz w:val="24"/>
          <w:szCs w:val="24"/>
        </w:rPr>
        <w:t xml:space="preserve">. The sentence transfer payment is generally used to express government payments to people through social programs like social security, student subsidies, and even social security programs. Nevertheless, corporate government payments, such as unqualified rescues and contributions, are not often described as transfer payments. </w:t>
      </w:r>
    </w:p>
    <w:p w:rsidR="006D7CBD" w:rsidRPr="00DB1EBD" w:rsidRDefault="00402BFA" w:rsidP="00DB1EBD">
      <w:pPr>
        <w:spacing w:line="480" w:lineRule="auto"/>
        <w:ind w:firstLine="720"/>
        <w:rPr>
          <w:rFonts w:ascii="Times New Roman" w:hAnsi="Times New Roman" w:cs="Times New Roman"/>
          <w:sz w:val="24"/>
          <w:szCs w:val="24"/>
        </w:rPr>
      </w:pPr>
      <w:r w:rsidRPr="00DB1EBD">
        <w:rPr>
          <w:rFonts w:ascii="Times New Roman" w:hAnsi="Times New Roman" w:cs="Times New Roman"/>
          <w:sz w:val="24"/>
          <w:szCs w:val="24"/>
        </w:rPr>
        <w:t>Yes</w:t>
      </w:r>
      <w:r w:rsidRPr="00DB1EBD">
        <w:rPr>
          <w:rFonts w:ascii="Times New Roman" w:hAnsi="Times New Roman" w:cs="Times New Roman"/>
          <w:sz w:val="24"/>
          <w:szCs w:val="24"/>
        </w:rPr>
        <w:t>, Todays federal expenditure is higher than in the 1960s</w:t>
      </w:r>
      <w:r w:rsidRPr="00DB1EBD">
        <w:rPr>
          <w:rFonts w:ascii="Times New Roman" w:hAnsi="Times New Roman" w:cs="Times New Roman"/>
          <w:sz w:val="24"/>
          <w:szCs w:val="24"/>
        </w:rPr>
        <w:t>, considering the expenditure program's principal objective was to replicate the domestic economy.</w:t>
      </w:r>
      <w:r w:rsidR="00FD0443" w:rsidRPr="00DB1EBD">
        <w:rPr>
          <w:rFonts w:ascii="Times New Roman" w:hAnsi="Times New Roman" w:cs="Times New Roman"/>
          <w:sz w:val="24"/>
          <w:szCs w:val="24"/>
        </w:rPr>
        <w:t xml:space="preserve"> Economic stimulation is government intervention to promote economic activity in the private sector by targeted, expansionary monetary or fiscal policies centered on Keynesian economics concepts. To encourage the private sector economy to use government policy to stimulate its response, the phrase economic stimulation is founded upon an analogy with the biological process of stimulus and reactions</w:t>
      </w:r>
      <w:r w:rsidR="00092534" w:rsidRPr="00DB1EBD">
        <w:rPr>
          <w:rFonts w:ascii="Times New Roman" w:hAnsi="Times New Roman" w:cs="Times New Roman"/>
          <w:sz w:val="24"/>
          <w:szCs w:val="24"/>
        </w:rPr>
        <w:t xml:space="preserve"> (</w:t>
      </w:r>
      <w:r w:rsidR="00092534" w:rsidRPr="00DB1EBD">
        <w:rPr>
          <w:rFonts w:ascii="Times New Roman" w:hAnsi="Times New Roman" w:cs="Times New Roman"/>
          <w:color w:val="222222"/>
          <w:sz w:val="24"/>
          <w:szCs w:val="24"/>
          <w:shd w:val="clear" w:color="auto" w:fill="FFFFFF"/>
        </w:rPr>
        <w:t>Konatar et al., 2018)</w:t>
      </w:r>
      <w:r w:rsidR="00FD0443" w:rsidRPr="00DB1EBD">
        <w:rPr>
          <w:rFonts w:ascii="Times New Roman" w:hAnsi="Times New Roman" w:cs="Times New Roman"/>
          <w:sz w:val="24"/>
          <w:szCs w:val="24"/>
        </w:rPr>
        <w:t>.</w:t>
      </w:r>
      <w:r w:rsidR="00DB67D1" w:rsidRPr="00DB1EBD">
        <w:rPr>
          <w:rFonts w:ascii="Times New Roman" w:hAnsi="Times New Roman" w:cs="Times New Roman"/>
          <w:sz w:val="24"/>
          <w:szCs w:val="24"/>
        </w:rPr>
        <w:t xml:space="preserve"> During the recession, financial incentives are widely used. Political strategies typically used to achieve economic stimulation include lower interest rates, higher government spending, and, to name just a few, quantitative easing.</w:t>
      </w:r>
    </w:p>
    <w:p w:rsidR="00092534" w:rsidRPr="00DB1EBD" w:rsidRDefault="00092534" w:rsidP="00DB1EBD">
      <w:pPr>
        <w:spacing w:line="480" w:lineRule="auto"/>
        <w:ind w:firstLine="720"/>
        <w:rPr>
          <w:rFonts w:ascii="Times New Roman" w:hAnsi="Times New Roman" w:cs="Times New Roman"/>
          <w:sz w:val="24"/>
          <w:szCs w:val="24"/>
        </w:rPr>
      </w:pPr>
    </w:p>
    <w:p w:rsidR="00092534" w:rsidRPr="00DB1EBD" w:rsidRDefault="00092534" w:rsidP="00DB1EBD">
      <w:pPr>
        <w:spacing w:line="480" w:lineRule="auto"/>
        <w:ind w:firstLine="720"/>
        <w:rPr>
          <w:rFonts w:ascii="Times New Roman" w:hAnsi="Times New Roman" w:cs="Times New Roman"/>
          <w:sz w:val="24"/>
          <w:szCs w:val="24"/>
        </w:rPr>
      </w:pPr>
    </w:p>
    <w:p w:rsidR="00092534" w:rsidRPr="00DB1EBD" w:rsidRDefault="00092534" w:rsidP="00DB1EBD">
      <w:pPr>
        <w:spacing w:line="480" w:lineRule="auto"/>
        <w:ind w:firstLine="720"/>
        <w:rPr>
          <w:rFonts w:ascii="Times New Roman" w:hAnsi="Times New Roman" w:cs="Times New Roman"/>
          <w:sz w:val="24"/>
          <w:szCs w:val="24"/>
        </w:rPr>
      </w:pPr>
    </w:p>
    <w:p w:rsidR="00092534" w:rsidRPr="00DB1EBD" w:rsidRDefault="00092534" w:rsidP="00DB1EBD">
      <w:pPr>
        <w:spacing w:line="480" w:lineRule="auto"/>
        <w:ind w:firstLine="720"/>
        <w:rPr>
          <w:rFonts w:ascii="Times New Roman" w:hAnsi="Times New Roman" w:cs="Times New Roman"/>
          <w:sz w:val="24"/>
          <w:szCs w:val="24"/>
        </w:rPr>
      </w:pPr>
    </w:p>
    <w:p w:rsidR="00092534" w:rsidRPr="00DB1EBD" w:rsidRDefault="00402BFA" w:rsidP="00DB1EBD">
      <w:pPr>
        <w:spacing w:line="480" w:lineRule="auto"/>
        <w:jc w:val="center"/>
        <w:rPr>
          <w:rFonts w:ascii="Times New Roman" w:hAnsi="Times New Roman" w:cs="Times New Roman"/>
          <w:b/>
          <w:sz w:val="24"/>
          <w:szCs w:val="24"/>
        </w:rPr>
      </w:pPr>
      <w:r w:rsidRPr="00DB1EBD">
        <w:rPr>
          <w:rFonts w:ascii="Times New Roman" w:hAnsi="Times New Roman" w:cs="Times New Roman"/>
          <w:b/>
          <w:sz w:val="24"/>
          <w:szCs w:val="24"/>
        </w:rPr>
        <w:t>References</w:t>
      </w:r>
    </w:p>
    <w:p w:rsidR="00092534" w:rsidRPr="00DB1EBD" w:rsidRDefault="00402BFA" w:rsidP="00DB1EBD">
      <w:pPr>
        <w:spacing w:line="480" w:lineRule="auto"/>
        <w:ind w:left="720" w:hanging="720"/>
        <w:rPr>
          <w:rFonts w:ascii="Times New Roman" w:hAnsi="Times New Roman" w:cs="Times New Roman"/>
          <w:color w:val="222222"/>
          <w:sz w:val="24"/>
          <w:szCs w:val="24"/>
          <w:shd w:val="clear" w:color="auto" w:fill="FFFFFF"/>
        </w:rPr>
      </w:pPr>
      <w:r w:rsidRPr="00DB1EBD">
        <w:rPr>
          <w:rFonts w:ascii="Times New Roman" w:hAnsi="Times New Roman" w:cs="Times New Roman"/>
          <w:color w:val="222222"/>
          <w:sz w:val="24"/>
          <w:szCs w:val="24"/>
          <w:shd w:val="clear" w:color="auto" w:fill="FFFFFF"/>
        </w:rPr>
        <w:t>Djuraskovic, J., Radovic, M., &amp; Konatar, M. R. (2018). The controversies of modern macroeconomic theory in</w:t>
      </w:r>
      <w:r w:rsidRPr="00DB1EBD">
        <w:rPr>
          <w:rFonts w:ascii="Times New Roman" w:hAnsi="Times New Roman" w:cs="Times New Roman"/>
          <w:color w:val="222222"/>
          <w:sz w:val="24"/>
          <w:szCs w:val="24"/>
          <w:shd w:val="clear" w:color="auto" w:fill="FFFFFF"/>
        </w:rPr>
        <w:t xml:space="preserve"> the context of the global economic crisis. </w:t>
      </w:r>
      <w:r w:rsidRPr="00DB1EBD">
        <w:rPr>
          <w:rFonts w:ascii="Times New Roman" w:hAnsi="Times New Roman" w:cs="Times New Roman"/>
          <w:i/>
          <w:iCs/>
          <w:color w:val="222222"/>
          <w:sz w:val="24"/>
          <w:szCs w:val="24"/>
          <w:shd w:val="clear" w:color="auto" w:fill="FFFFFF"/>
        </w:rPr>
        <w:t>Journal of Central Banking Theory and Practice</w:t>
      </w:r>
      <w:r w:rsidRPr="00DB1EBD">
        <w:rPr>
          <w:rFonts w:ascii="Times New Roman" w:hAnsi="Times New Roman" w:cs="Times New Roman"/>
          <w:color w:val="222222"/>
          <w:sz w:val="24"/>
          <w:szCs w:val="24"/>
          <w:shd w:val="clear" w:color="auto" w:fill="FFFFFF"/>
        </w:rPr>
        <w:t>, </w:t>
      </w:r>
      <w:r w:rsidRPr="00DB1EBD">
        <w:rPr>
          <w:rFonts w:ascii="Times New Roman" w:hAnsi="Times New Roman" w:cs="Times New Roman"/>
          <w:i/>
          <w:iCs/>
          <w:color w:val="222222"/>
          <w:sz w:val="24"/>
          <w:szCs w:val="24"/>
          <w:shd w:val="clear" w:color="auto" w:fill="FFFFFF"/>
        </w:rPr>
        <w:t>7</w:t>
      </w:r>
      <w:r w:rsidRPr="00DB1EBD">
        <w:rPr>
          <w:rFonts w:ascii="Times New Roman" w:hAnsi="Times New Roman" w:cs="Times New Roman"/>
          <w:color w:val="222222"/>
          <w:sz w:val="24"/>
          <w:szCs w:val="24"/>
          <w:shd w:val="clear" w:color="auto" w:fill="FFFFFF"/>
        </w:rPr>
        <w:t xml:space="preserve">(2), 49-72. </w:t>
      </w:r>
    </w:p>
    <w:p w:rsidR="00092534" w:rsidRPr="00DB1EBD" w:rsidRDefault="00402BFA" w:rsidP="00DB1EBD">
      <w:pPr>
        <w:spacing w:line="480" w:lineRule="auto"/>
        <w:ind w:left="720" w:hanging="720"/>
        <w:rPr>
          <w:rFonts w:ascii="Times New Roman" w:hAnsi="Times New Roman" w:cs="Times New Roman"/>
          <w:b/>
          <w:sz w:val="24"/>
          <w:szCs w:val="24"/>
        </w:rPr>
      </w:pPr>
      <w:r w:rsidRPr="00DB1EBD">
        <w:rPr>
          <w:rFonts w:ascii="Times New Roman" w:hAnsi="Times New Roman" w:cs="Times New Roman"/>
          <w:color w:val="222222"/>
          <w:sz w:val="24"/>
          <w:szCs w:val="24"/>
          <w:shd w:val="clear" w:color="auto" w:fill="FFFFFF"/>
        </w:rPr>
        <w:t xml:space="preserve">International Monetary Fund. He, M. D., Leckow, M. R. B., Haksar, M. V., Griffoli, M. T. M., Jenkinson, N., Kashima, M. M., ... &amp; Tourpe, H. (2017). </w:t>
      </w:r>
      <w:r w:rsidRPr="00DB1EBD">
        <w:rPr>
          <w:rFonts w:ascii="Times New Roman" w:hAnsi="Times New Roman" w:cs="Times New Roman"/>
          <w:i/>
          <w:iCs/>
          <w:color w:val="222222"/>
          <w:sz w:val="24"/>
          <w:szCs w:val="24"/>
          <w:shd w:val="clear" w:color="auto" w:fill="FFFFFF"/>
        </w:rPr>
        <w:t>Fintech and financial services: initial considerations</w:t>
      </w:r>
      <w:r w:rsidRPr="00DB1EBD">
        <w:rPr>
          <w:rFonts w:ascii="Times New Roman" w:hAnsi="Times New Roman" w:cs="Times New Roman"/>
          <w:color w:val="222222"/>
          <w:sz w:val="24"/>
          <w:szCs w:val="24"/>
          <w:shd w:val="clear" w:color="auto" w:fill="FFFFFF"/>
        </w:rPr>
        <w:t>.</w:t>
      </w:r>
    </w:p>
    <w:p w:rsidR="00092534" w:rsidRPr="00DB1EBD" w:rsidRDefault="00402BFA" w:rsidP="00DB1EBD">
      <w:pPr>
        <w:spacing w:line="480" w:lineRule="auto"/>
        <w:ind w:left="720" w:hanging="720"/>
        <w:rPr>
          <w:rFonts w:ascii="Times New Roman" w:hAnsi="Times New Roman" w:cs="Times New Roman"/>
          <w:color w:val="222222"/>
          <w:sz w:val="24"/>
          <w:szCs w:val="24"/>
          <w:shd w:val="clear" w:color="auto" w:fill="FFFFFF"/>
        </w:rPr>
      </w:pPr>
      <w:r w:rsidRPr="00DB1EBD">
        <w:rPr>
          <w:rFonts w:ascii="Times New Roman" w:hAnsi="Times New Roman" w:cs="Times New Roman"/>
          <w:color w:val="222222"/>
          <w:sz w:val="24"/>
          <w:szCs w:val="24"/>
          <w:shd w:val="clear" w:color="auto" w:fill="FFFFFF"/>
        </w:rPr>
        <w:t>Honohan, P. (2019). </w:t>
      </w:r>
      <w:r w:rsidRPr="00DB1EBD">
        <w:rPr>
          <w:rFonts w:ascii="Times New Roman" w:hAnsi="Times New Roman" w:cs="Times New Roman"/>
          <w:i/>
          <w:iCs/>
          <w:color w:val="222222"/>
          <w:sz w:val="24"/>
          <w:szCs w:val="24"/>
          <w:shd w:val="clear" w:color="auto" w:fill="FFFFFF"/>
        </w:rPr>
        <w:t>Should monetary policy take inequality and climate change into account?</w:t>
      </w:r>
      <w:r w:rsidRPr="00DB1EBD">
        <w:rPr>
          <w:rFonts w:ascii="Times New Roman" w:hAnsi="Times New Roman" w:cs="Times New Roman"/>
          <w:color w:val="222222"/>
          <w:sz w:val="24"/>
          <w:szCs w:val="24"/>
          <w:shd w:val="clear" w:color="auto" w:fill="FFFFFF"/>
        </w:rPr>
        <w:t xml:space="preserve">. PIIE, Peterson Institute for International Economics. </w:t>
      </w:r>
    </w:p>
    <w:p w:rsidR="00092534" w:rsidRPr="00DB1EBD" w:rsidRDefault="00402BFA" w:rsidP="00DB1EBD">
      <w:pPr>
        <w:spacing w:line="480" w:lineRule="auto"/>
        <w:ind w:left="720" w:hanging="720"/>
        <w:rPr>
          <w:rFonts w:ascii="Times New Roman" w:hAnsi="Times New Roman" w:cs="Times New Roman"/>
          <w:color w:val="222222"/>
          <w:sz w:val="24"/>
          <w:szCs w:val="24"/>
          <w:shd w:val="clear" w:color="auto" w:fill="FFFFFF"/>
        </w:rPr>
      </w:pPr>
      <w:r w:rsidRPr="00DB1EBD">
        <w:rPr>
          <w:rFonts w:ascii="Times New Roman" w:hAnsi="Times New Roman" w:cs="Times New Roman"/>
          <w:color w:val="222222"/>
          <w:sz w:val="24"/>
          <w:szCs w:val="24"/>
          <w:shd w:val="clear" w:color="auto" w:fill="FFFFFF"/>
        </w:rPr>
        <w:t>Summers, L. H., &amp; Rachel, L. (2019, March). On falli</w:t>
      </w:r>
      <w:r w:rsidRPr="00DB1EBD">
        <w:rPr>
          <w:rFonts w:ascii="Times New Roman" w:hAnsi="Times New Roman" w:cs="Times New Roman"/>
          <w:color w:val="222222"/>
          <w:sz w:val="24"/>
          <w:szCs w:val="24"/>
          <w:shd w:val="clear" w:color="auto" w:fill="FFFFFF"/>
        </w:rPr>
        <w:t xml:space="preserve">ng accurate, neutral rates, fiscal policy, and the risk of secular stagnation. In </w:t>
      </w:r>
      <w:r w:rsidRPr="00DB1EBD">
        <w:rPr>
          <w:rFonts w:ascii="Times New Roman" w:hAnsi="Times New Roman" w:cs="Times New Roman"/>
          <w:i/>
          <w:iCs/>
          <w:color w:val="222222"/>
          <w:sz w:val="24"/>
          <w:szCs w:val="24"/>
          <w:shd w:val="clear" w:color="auto" w:fill="FFFFFF"/>
        </w:rPr>
        <w:t>Brookings Papers on Economic Activity BPEA Conference Drafts, March</w:t>
      </w:r>
      <w:r w:rsidRPr="00DB1EBD">
        <w:rPr>
          <w:rFonts w:ascii="Times New Roman" w:hAnsi="Times New Roman" w:cs="Times New Roman"/>
          <w:color w:val="222222"/>
          <w:sz w:val="24"/>
          <w:szCs w:val="24"/>
          <w:shd w:val="clear" w:color="auto" w:fill="FFFFFF"/>
        </w:rPr>
        <w:t> (Vol. 7).</w:t>
      </w:r>
      <w:bookmarkStart w:id="0" w:name="_GoBack"/>
      <w:bookmarkEnd w:id="0"/>
    </w:p>
    <w:sectPr w:rsidR="00092534" w:rsidRPr="00DB1EB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BFA" w:rsidRDefault="00402BFA">
      <w:pPr>
        <w:spacing w:after="0" w:line="240" w:lineRule="auto"/>
      </w:pPr>
      <w:r>
        <w:separator/>
      </w:r>
    </w:p>
  </w:endnote>
  <w:endnote w:type="continuationSeparator" w:id="0">
    <w:p w:rsidR="00402BFA" w:rsidRDefault="00402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BFA" w:rsidRDefault="00402BFA">
      <w:pPr>
        <w:spacing w:after="0" w:line="240" w:lineRule="auto"/>
      </w:pPr>
      <w:r>
        <w:separator/>
      </w:r>
    </w:p>
  </w:footnote>
  <w:footnote w:type="continuationSeparator" w:id="0">
    <w:p w:rsidR="00402BFA" w:rsidRDefault="00402B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418367"/>
      <w:docPartObj>
        <w:docPartGallery w:val="Page Numbers (Top of Page)"/>
        <w:docPartUnique/>
      </w:docPartObj>
    </w:sdtPr>
    <w:sdtEndPr>
      <w:rPr>
        <w:noProof/>
      </w:rPr>
    </w:sdtEndPr>
    <w:sdtContent>
      <w:p w:rsidR="00A16F8A" w:rsidRDefault="00402BF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A16F8A" w:rsidRDefault="00A16F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F8A"/>
    <w:rsid w:val="00092534"/>
    <w:rsid w:val="00402BFA"/>
    <w:rsid w:val="00464B4B"/>
    <w:rsid w:val="00471996"/>
    <w:rsid w:val="006D7CBD"/>
    <w:rsid w:val="006E2EC8"/>
    <w:rsid w:val="00756AC2"/>
    <w:rsid w:val="009C2C0D"/>
    <w:rsid w:val="00A16F8A"/>
    <w:rsid w:val="00A870FE"/>
    <w:rsid w:val="00D42EE6"/>
    <w:rsid w:val="00DB1EBD"/>
    <w:rsid w:val="00DB67D1"/>
    <w:rsid w:val="00FD0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5415E7-7CE0-4EDF-8C15-99783766F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F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F8A"/>
  </w:style>
  <w:style w:type="paragraph" w:styleId="Footer">
    <w:name w:val="footer"/>
    <w:basedOn w:val="Normal"/>
    <w:link w:val="FooterChar"/>
    <w:uiPriority w:val="99"/>
    <w:unhideWhenUsed/>
    <w:rsid w:val="00A16F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F8A"/>
  </w:style>
  <w:style w:type="character" w:customStyle="1" w:styleId="termtext">
    <w:name w:val="termtext"/>
    <w:basedOn w:val="DefaultParagraphFont"/>
    <w:rsid w:val="006D7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2021-08-08T22:54:00Z</dcterms:created>
  <dcterms:modified xsi:type="dcterms:W3CDTF">2021-08-08T22:54:00Z</dcterms:modified>
</cp:coreProperties>
</file>